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F" w:rsidRDefault="00562EA6">
      <w:hyperlink r:id="rId4" w:history="1">
        <w:r w:rsidRPr="003E6F48">
          <w:rPr>
            <w:rStyle w:val="a3"/>
          </w:rPr>
          <w:t>https://www.pjcriminology.com/wp-content/uploads/2024/05/2-Interpreting-Legal-Norms-and-Their-Role.pdf</w:t>
        </w:r>
      </w:hyperlink>
    </w:p>
    <w:p w:rsidR="00562EA6" w:rsidRDefault="00562EA6">
      <w:bookmarkStart w:id="0" w:name="_GoBack"/>
      <w:bookmarkEnd w:id="0"/>
    </w:p>
    <w:sectPr w:rsidR="0056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19"/>
    <w:rsid w:val="00562EA6"/>
    <w:rsid w:val="008F4019"/>
    <w:rsid w:val="00E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EDD2-6824-4B2B-AE8D-DB362EB8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jcriminology.com/wp-content/uploads/2024/05/2-Interpreting-Legal-Norms-and-Their-Ro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2025-02-28T08:49:00Z</dcterms:created>
  <dcterms:modified xsi:type="dcterms:W3CDTF">2025-02-28T08:49:00Z</dcterms:modified>
</cp:coreProperties>
</file>